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Политика в отношении обработки персональных данных</w:t>
      </w:r>
    </w:p>
    <w:p>
      <w:pPr>
        <w:jc w:val="center"/>
      </w:pPr>
      <w:r>
        <w:rPr>
          <w:b/>
        </w:rPr>
        <w:t>для сайта https://green-road.pro</w:t>
      </w:r>
    </w:p>
    <w:p>
      <w:pPr>
        <w:jc w:val="center"/>
      </w:pPr>
      <w:r>
        <w:t>Редакция от 30.09.2026</w:t>
      </w:r>
    </w:p>
    <w:p>
      <w:pPr>
        <w:pStyle w:val="Heading1"/>
      </w:pPr>
      <w:r>
        <w:t>1. Общие положения</w:t>
      </w:r>
    </w:p>
    <w:p>
      <w:r>
        <w:t>Настоящая Политика в отношении обработки персональных данных разработана в соответствии с Федеральным законом от 27.07.2006 № 152-ФЗ «О персональных данных» и определяет порядок обработки персональных данных посетителей сайта https://green-road.pro.</w:t>
      </w:r>
    </w:p>
    <w:p>
      <w:r>
        <w:t>Оператор персональных данных: Индивидуальный предприниматель Ларин Сергей Сергеевич, ИНН 381706533210, ОГРНИП 319774600642900.</w:t>
      </w:r>
    </w:p>
    <w:p>
      <w:r>
        <w:t>Адрес Оператора: 117218, г. Москва, ул. Большая Черемушкинская, д. 26, корп. 1, кв. 57.</w:t>
      </w:r>
    </w:p>
    <w:p>
      <w:r>
        <w:t>Адрес электронной почты для обращений по вопросам обработки персональных данных: zakaz@green-road.pro.</w:t>
      </w:r>
    </w:p>
    <w:p>
      <w:r>
        <w:t>Оператор обеспечивает доступ к настоящей Политике на сайте и принимает необходимые правовые, организационные и технические меры для защиты персональных данных.</w:t>
      </w:r>
    </w:p>
    <w:p>
      <w:pPr>
        <w:pStyle w:val="Heading1"/>
      </w:pPr>
      <w:r>
        <w:t>2. Какие данные могут обрабатываться</w:t>
      </w:r>
    </w:p>
    <w:p>
      <w:pPr>
        <w:pStyle w:val="ListBullet"/>
        <w:ind w:left="340" w:hanging="170"/>
      </w:pPr>
      <w:r>
        <w:t>имя пользователя;</w:t>
      </w:r>
    </w:p>
    <w:p>
      <w:pPr>
        <w:pStyle w:val="ListBullet"/>
        <w:ind w:left="340" w:hanging="170"/>
      </w:pPr>
      <w:r>
        <w:t>номер телефона;</w:t>
      </w:r>
    </w:p>
    <w:p>
      <w:pPr>
        <w:pStyle w:val="ListBullet"/>
        <w:ind w:left="340" w:hanging="170"/>
      </w:pPr>
      <w:r>
        <w:t>адрес объекта, указанный в заявке;</w:t>
      </w:r>
    </w:p>
    <w:p>
      <w:pPr>
        <w:pStyle w:val="ListBullet"/>
        <w:ind w:left="340" w:hanging="170"/>
      </w:pPr>
      <w:r>
        <w:t>адрес электронной почты, если пользователь сообщает его Оператору;</w:t>
      </w:r>
    </w:p>
    <w:p>
      <w:pPr>
        <w:pStyle w:val="ListBullet"/>
        <w:ind w:left="340" w:hanging="170"/>
      </w:pPr>
      <w:r>
        <w:t>текст сообщения, комментария или иные сведения, которые пользователь добровольно указывает при обращении;</w:t>
      </w:r>
    </w:p>
    <w:p>
      <w:pPr>
        <w:pStyle w:val="ListBullet"/>
        <w:ind w:left="340" w:hanging="170"/>
      </w:pPr>
      <w:r>
        <w:t>данные о взаимодействии с сайтом: IP-адрес, cookie-файлы, сведения о браузере и устройстве, источник перехода, посещенные страницы и иные технические данные, собираемые средствами веб-аналитики;</w:t>
      </w:r>
    </w:p>
    <w:p>
      <w:pPr>
        <w:pStyle w:val="ListBullet"/>
        <w:ind w:left="340" w:hanging="170"/>
      </w:pPr>
      <w:r>
        <w:t>номер телефона и технические сведения о телефонном соединении при обращении по телефонам, указанным на сайте.</w:t>
      </w:r>
    </w:p>
    <w:p>
      <w:pPr>
        <w:pStyle w:val="Heading1"/>
      </w:pPr>
      <w:r>
        <w:t>3. Цели обработки персональных данных</w:t>
      </w:r>
    </w:p>
    <w:p>
      <w:pPr>
        <w:pStyle w:val="ListBullet"/>
        <w:ind w:left="340" w:hanging="170"/>
      </w:pPr>
      <w:r>
        <w:t>прием и обработка заявок на ремонт, техническое обслуживание, диагностику и иные услуги;</w:t>
      </w:r>
    </w:p>
    <w:p>
      <w:pPr>
        <w:pStyle w:val="ListBullet"/>
        <w:ind w:left="340" w:hanging="170"/>
      </w:pPr>
      <w:r>
        <w:t>связь с пользователем для уточнения заявки, адреса объекта, времени выезда и иных условий;</w:t>
      </w:r>
    </w:p>
    <w:p>
      <w:pPr>
        <w:pStyle w:val="ListBullet"/>
        <w:ind w:left="340" w:hanging="170"/>
      </w:pPr>
      <w:r>
        <w:t>подготовка и направление коммерческих предложений, расчетов и информации об услугах по запросу пользователя;</w:t>
      </w:r>
    </w:p>
    <w:p>
      <w:pPr>
        <w:pStyle w:val="ListBullet"/>
        <w:ind w:left="340" w:hanging="170"/>
      </w:pPr>
      <w:r>
        <w:t>заключение, исполнение и прекращение договоров;</w:t>
      </w:r>
    </w:p>
    <w:p>
      <w:pPr>
        <w:pStyle w:val="ListBullet"/>
        <w:ind w:left="340" w:hanging="170"/>
      </w:pPr>
      <w:r>
        <w:t>ведение истории обращений и взаимодействия с клиентами;</w:t>
      </w:r>
    </w:p>
    <w:p>
      <w:pPr>
        <w:pStyle w:val="ListBullet"/>
        <w:ind w:left="340" w:hanging="170"/>
      </w:pPr>
      <w:r>
        <w:t>обеспечение работы сайта, его безопасности и улучшение качества сервиса;</w:t>
      </w:r>
    </w:p>
    <w:p>
      <w:pPr>
        <w:pStyle w:val="ListBullet"/>
        <w:ind w:left="340" w:hanging="170"/>
      </w:pPr>
      <w:r>
        <w:t>анализ посещаемости и использования сайта;</w:t>
      </w:r>
    </w:p>
    <w:p>
      <w:pPr>
        <w:pStyle w:val="ListBullet"/>
        <w:ind w:left="340" w:hanging="170"/>
      </w:pPr>
      <w:r>
        <w:t>исполнение обязанностей, установленных законодательством Российской Федерации.</w:t>
      </w:r>
    </w:p>
    <w:p>
      <w:pPr>
        <w:pStyle w:val="Heading1"/>
      </w:pPr>
      <w:r>
        <w:t>4. Правовые основания обработки</w:t>
      </w:r>
    </w:p>
    <w:p>
      <w:r>
        <w:t>Оператор обрабатывает персональные данные на основании согласия субъекта персональных данных, договора или действий, направленных на его заключение, а также в иных случаях, предусмотренных законодательством Российской Федерации.</w:t>
      </w:r>
    </w:p>
    <w:p>
      <w:r>
        <w:t>Если обработка осуществляется на основании согласия, пользователь предоставляет его путем самостоятельного проставления соответствующего чекбокса и отправки формы на сайте. Чекбокс не должен быть отмечен заранее.</w:t>
      </w:r>
    </w:p>
    <w:p>
      <w:pPr>
        <w:pStyle w:val="Heading1"/>
      </w:pPr>
      <w:r>
        <w:t>5. Порядок и способы обработки</w:t>
      </w:r>
    </w:p>
    <w:p>
      <w:r>
        <w:t>Оператор может осуществлять сбор, запись, систематизацию, накопление, хранение, уточнение, извлечение, использование, передачу в случаях, предусмотренных настоящей Политикой и законом, обезличивание, блокирование, удаление и уничтожение персональных данных.</w:t>
      </w:r>
    </w:p>
    <w:p>
      <w:r>
        <w:t>Обработка осуществляется с использованием средств автоматизации и без их использования.</w:t>
      </w:r>
    </w:p>
    <w:p>
      <w:r>
        <w:t>При сборе персональных данных граждан Российской Федерации с использованием сети Интернет Оператор соблюдает требования законодательства Российской Федерации к использованию баз данных, находящихся на территории Российской Федерации.</w:t>
      </w:r>
    </w:p>
    <w:p>
      <w:pPr>
        <w:pStyle w:val="Heading1"/>
      </w:pPr>
      <w:r>
        <w:t>6. Используемые сервисы и передача данных</w:t>
      </w:r>
    </w:p>
    <w:p>
      <w:r>
        <w:t>Для обработки обращений и организации взаимодействия с пользователями Оператор использует следующие информационные сервисы:</w:t>
      </w:r>
    </w:p>
    <w:p>
      <w:pPr>
        <w:pStyle w:val="ListBullet"/>
        <w:ind w:left="340" w:hanging="170"/>
      </w:pPr>
      <w:r>
        <w:t>amoCRM — для учета и обработки заявок, ведения истории взаимодействия с клиентами и организации работы с обращениями;</w:t>
      </w:r>
    </w:p>
    <w:p>
      <w:pPr>
        <w:pStyle w:val="ListBullet"/>
        <w:ind w:left="340" w:hanging="170"/>
      </w:pPr>
      <w:r>
        <w:t>Mango Office — для организации телефонной связи и обработки технических данных телефонных соединений;</w:t>
      </w:r>
    </w:p>
    <w:p>
      <w:pPr>
        <w:pStyle w:val="ListBullet"/>
        <w:ind w:left="340" w:hanging="170"/>
      </w:pPr>
      <w:r>
        <w:t>Яндекс.Метрика — для анализа посещаемости и использования сайта.</w:t>
      </w:r>
    </w:p>
    <w:p>
      <w:r>
        <w:t>Доступ к персональным данным может предоставляться поставщикам указанных сервисов и иным лицам, привлекаемым Оператором для обеспечения работы сайта и обработки обращений, в объеме, необходимом для выполнения соответствующих функций и при наличии законного основания.</w:t>
      </w:r>
    </w:p>
    <w:p>
      <w:r>
        <w:t>Оператор не распространяет персональные данные неопределенному кругу лиц без отдельного законного основания.</w:t>
      </w:r>
    </w:p>
    <w:p>
      <w:pPr>
        <w:pStyle w:val="Heading1"/>
      </w:pPr>
      <w:r>
        <w:t>7. Cookie-файлы и веб-аналитика</w:t>
      </w:r>
    </w:p>
    <w:p>
      <w:r>
        <w:t>Сайт использует cookie-файлы и сервисы веб-аналитики. Cookie могут быть необходимы для корректной работы сайта, сохранения пользовательских настроек и получения статистики.</w:t>
      </w:r>
    </w:p>
    <w:p>
      <w:r>
        <w:t>Пользователь может ограничить или удалить cookie в настройках своего браузера. Ограничение cookie может повлиять на работу отдельных функций сайта.</w:t>
      </w:r>
    </w:p>
    <w:p>
      <w:r>
        <w:t>При первом посещении сайта пользователю должно быть показано уведомление об использовании cookie со ссылкой на настоящую Политику или отдельный документ о cookie.</w:t>
      </w:r>
    </w:p>
    <w:p>
      <w:pPr>
        <w:pStyle w:val="Heading1"/>
      </w:pPr>
      <w:r>
        <w:t>8. Сроки обработки и хранения</w:t>
      </w:r>
    </w:p>
    <w:p>
      <w:r>
        <w:t>Персональные данные обрабатываются не дольше, чем это необходимо для достижения целей обработки, если иной срок не установлен законодательством Российской Федерации или договором.</w:t>
      </w:r>
    </w:p>
    <w:p>
      <w:r>
        <w:t>Данные, связанные с заявкой, обрабатываются в период работы с обращением и далее в течение срока, необходимого для подтверждения истории взаимодействия и защиты законных интересов Оператора.</w:t>
      </w:r>
    </w:p>
    <w:p>
      <w:r>
        <w:t>Если с пользователем заключен договор, данные могут храниться в течение сроков, предусмотренных законодательством для договорных, бухгалтерских, налоговых и иных обязательных документов.</w:t>
      </w:r>
    </w:p>
    <w:p>
      <w:r>
        <w:t>При достижении целей обработки, отзыве согласия либо возникновении иных предусмотренных законом оснований данные подлежат прекращению обработки, удалению или уничтожению, если отсутствует иное законное основание для их дальнейшего хранения.</w:t>
      </w:r>
    </w:p>
    <w:p>
      <w:pPr>
        <w:pStyle w:val="Heading1"/>
      </w:pPr>
      <w:r>
        <w:t>9. Права пользователя</w:t>
      </w:r>
    </w:p>
    <w:p>
      <w:pPr>
        <w:pStyle w:val="ListBullet"/>
        <w:ind w:left="340" w:hanging="170"/>
      </w:pPr>
      <w:r>
        <w:t>получать информацию об обработке своих персональных данных;</w:t>
      </w:r>
    </w:p>
    <w:p>
      <w:pPr>
        <w:pStyle w:val="ListBullet"/>
        <w:ind w:left="340" w:hanging="170"/>
      </w:pPr>
      <w:r>
        <w:t>требовать уточнения, блокирования или уничтожения данных в случаях, предусмотренных законом;</w:t>
      </w:r>
    </w:p>
    <w:p>
      <w:pPr>
        <w:pStyle w:val="ListBullet"/>
        <w:ind w:left="340" w:hanging="170"/>
      </w:pPr>
      <w:r>
        <w:t>отозвать ранее предоставленное согласие на обработку персональных данных;</w:t>
      </w:r>
    </w:p>
    <w:p>
      <w:pPr>
        <w:pStyle w:val="ListBullet"/>
        <w:ind w:left="340" w:hanging="170"/>
      </w:pPr>
      <w:r>
        <w:t>потребовать прекращения обработки персональных данных в случаях, предусмотренных законодательством;</w:t>
      </w:r>
    </w:p>
    <w:p>
      <w:pPr>
        <w:pStyle w:val="ListBullet"/>
        <w:ind w:left="340" w:hanging="170"/>
      </w:pPr>
      <w:r>
        <w:t>обжаловать действия или бездействие Оператора в уполномоченный орган или суд.</w:t>
      </w:r>
    </w:p>
    <w:p>
      <w:r>
        <w:t>Обращения и отзывы согласия направляются на zakaz@green-road.pro. В обращении рекомендуется указать сведения, позволяющие идентифицировать заявителя и соответствующее обращение или заявку.</w:t>
      </w:r>
    </w:p>
    <w:p>
      <w:pPr>
        <w:pStyle w:val="Heading1"/>
      </w:pPr>
      <w:r>
        <w:t>10. Обработка данных в целях рекламы</w:t>
      </w:r>
    </w:p>
    <w:p>
      <w:r>
        <w:t>Направление рекламных и маркетинговых сообщений с использованием средств связи осуществляется только при наличии отдельного предварительного согласия пользователя, если такое согласие требуется законодательством.</w:t>
      </w:r>
    </w:p>
    <w:p>
      <w:r>
        <w:t>Согласие на обработку данных для заявки на услугу не считается автоматически согласием на рекламную рассылку.</w:t>
      </w:r>
    </w:p>
    <w:p>
      <w:pPr>
        <w:pStyle w:val="Heading1"/>
      </w:pPr>
      <w:r>
        <w:t>11. Трансграничная передача</w:t>
      </w:r>
    </w:p>
    <w:p>
      <w:r>
        <w:t>Если в процессе использования информационных сервисов возникает необходимость трансграничной передачи персональных данных, такая передача осуществляется только при наличии правовых оснований и с соблюдением требований законодательства Российской Федерации.</w:t>
      </w:r>
    </w:p>
    <w:p>
      <w:r>
        <w:t>Факт использования конкретного иностранного сервиса сам по себе не включается в настоящую Политику без проверки фактической схемы обработки и местонахождения используемых баз данных.</w:t>
      </w:r>
    </w:p>
    <w:p>
      <w:pPr>
        <w:pStyle w:val="Heading1"/>
      </w:pPr>
      <w:r>
        <w:t>12. Защита персональных данных</w:t>
      </w:r>
    </w:p>
    <w:p>
      <w: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pPr>
        <w:pStyle w:val="Heading1"/>
      </w:pPr>
      <w:r>
        <w:t>13. Изменение Политики</w:t>
      </w:r>
    </w:p>
    <w:p>
      <w:r>
        <w:t>Оператор вправе изменять настоящую Политику при изменении законодательства, состава используемых сервисов или процессов обработки персональных данных.</w:t>
      </w:r>
    </w:p>
    <w:p>
      <w:r>
        <w:t>Актуальная редакция Политики размещается в свободном доступе на сайте https://green-road.pro.</w:t>
      </w:r>
    </w:p>
    <w:sectPr w:rsidR="00FC693F" w:rsidRPr="0006063C" w:rsidSect="00034616"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